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DB2A4">
      <w:pPr>
        <w:jc w:val="center"/>
        <w:rPr>
          <w:rFonts w:hint="default"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追加第三人和诉讼请求申请</w:t>
      </w:r>
    </w:p>
    <w:p w14:paraId="5E854581">
      <w:pPr>
        <w:ind w:firstLine="560" w:firstLineChars="200"/>
        <w:jc w:val="lef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申请人：陈伟祺，男，身份证440524197303284218，地址金平区外马路信逸雅园5幢2梯507，电话13902778298。</w:t>
      </w:r>
    </w:p>
    <w:p w14:paraId="6E2A4A4A">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被申请人：汕头市住房和城乡建设局，地址：汕头市中山路213号，法定代表人</w:t>
      </w:r>
      <w:r>
        <w:rPr>
          <w:rFonts w:ascii="微软雅黑" w:hAnsi="微软雅黑" w:eastAsia="微软雅黑" w:cs="微软雅黑"/>
          <w:i w:val="0"/>
          <w:iCs w:val="0"/>
          <w:caps w:val="0"/>
          <w:color w:val="424242"/>
          <w:spacing w:val="0"/>
          <w:sz w:val="27"/>
          <w:szCs w:val="27"/>
          <w:shd w:val="clear" w:fill="FFFFFF"/>
        </w:rPr>
        <w:t>陈斌</w:t>
      </w:r>
      <w:r>
        <w:rPr>
          <w:rFonts w:hint="eastAsia" w:asciiTheme="minorEastAsia" w:hAnsiTheme="minorEastAsia" w:cstheme="minorEastAsia"/>
          <w:sz w:val="28"/>
          <w:szCs w:val="28"/>
          <w:lang w:val="en-US" w:eastAsia="zh-CN"/>
        </w:rPr>
        <w:t>，电话0754-88566555。</w:t>
      </w:r>
    </w:p>
    <w:p w14:paraId="1EC567A7">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在小公园街道“关于小公园街道解散筹备组行政纠纷”一案中，被申请人与本案存在利害关系，且被申请人在“物业管理小区成立业主大会、选举产生业委会”负有法定指导的保障职责，申请追加其为本案第三人参加诉讼，并增加如下诉讼请求。</w:t>
      </w:r>
    </w:p>
    <w:p w14:paraId="380BCFCF">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增加请求事项：</w:t>
      </w:r>
    </w:p>
    <w:p w14:paraId="49EFA2D8">
      <w:pPr>
        <w:numPr>
          <w:numId w:val="0"/>
        </w:num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1.依法确认被申请人在答复小公园街道办的业务咨询过程中不严格行政执法，造成小公园街道办的违法行为推卸给被申请人，而被申请人还不予以澄清的行为违法；</w:t>
      </w:r>
    </w:p>
    <w:p w14:paraId="1EE6A55F">
      <w:pPr>
        <w:numPr>
          <w:numId w:val="0"/>
        </w:num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2.判决被申请人没有依职权指导申请人所在小区成立业主大会、产生业委会的行为违法；</w:t>
      </w:r>
    </w:p>
    <w:p w14:paraId="16A8048F">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3.判决被申请人应当依法指导申请人所在物业管理的小区成立业主大会并选举产生业委会。</w:t>
      </w:r>
    </w:p>
    <w:p w14:paraId="6F44B2A4">
      <w:pPr>
        <w:numPr>
          <w:ilvl w:val="0"/>
          <w:numId w:val="0"/>
        </w:numPr>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申请理由：</w:t>
      </w:r>
    </w:p>
    <w:p w14:paraId="1E46808E">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本案争议焦点在于筹备组召开业主大会超过法定时限是否因第三人小公园街道办的责任，而小公园街道办工作人员李文强调执行政策是基于咨询了被申请人的原因。虽然小公园街道办对筹备组的指导协调工作负主体责任，但被申请人是否依法答复咨询，更有利于查清是否应当解散筹备组，因此，必须依法追加被申请人为第三人参加诉讼。而被申请人不严格履行行政执法，引致行政纠纷或者被别有用心的人利用，属于违法行为，应当确认违法，促其严格依法行政。</w:t>
      </w:r>
    </w:p>
    <w:p w14:paraId="66531A63">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从被申请人公开的法定职责可以看出，其负有法定</w:t>
      </w:r>
      <w:r>
        <w:rPr>
          <w:rFonts w:hint="eastAsia" w:asciiTheme="minorEastAsia" w:hAnsiTheme="minorEastAsia" w:cstheme="minorEastAsia"/>
          <w:b/>
          <w:bCs/>
          <w:sz w:val="28"/>
          <w:szCs w:val="28"/>
          <w:lang w:val="en-US" w:eastAsia="zh-CN"/>
        </w:rPr>
        <w:t>依职权</w:t>
      </w:r>
      <w:r>
        <w:rPr>
          <w:rFonts w:hint="eastAsia" w:asciiTheme="minorEastAsia" w:hAnsiTheme="minorEastAsia" w:cstheme="minorEastAsia"/>
          <w:sz w:val="28"/>
          <w:szCs w:val="28"/>
          <w:lang w:val="en-US" w:eastAsia="zh-CN"/>
        </w:rPr>
        <w:t>“指导物业管理小区成立业主大会、选举产生业委会”的职责，负有对物业管理小区成立业主大会的动员、组织、推进直至产生业委会</w:t>
      </w:r>
      <w:bookmarkStart w:id="0" w:name="_GoBack"/>
      <w:bookmarkEnd w:id="0"/>
      <w:r>
        <w:rPr>
          <w:rFonts w:hint="eastAsia" w:asciiTheme="minorEastAsia" w:hAnsiTheme="minorEastAsia" w:cstheme="minorEastAsia"/>
          <w:sz w:val="28"/>
          <w:szCs w:val="28"/>
          <w:lang w:val="en-US" w:eastAsia="zh-CN"/>
        </w:rPr>
        <w:t>的行政保障职能，区别于本案的第三人小公园街道办的</w:t>
      </w:r>
      <w:r>
        <w:rPr>
          <w:rFonts w:hint="eastAsia" w:asciiTheme="minorEastAsia" w:hAnsiTheme="minorEastAsia" w:cstheme="minorEastAsia"/>
          <w:b/>
          <w:bCs/>
          <w:sz w:val="28"/>
          <w:szCs w:val="28"/>
          <w:lang w:val="en-US" w:eastAsia="zh-CN"/>
        </w:rPr>
        <w:t>依申请</w:t>
      </w:r>
      <w:r>
        <w:rPr>
          <w:rFonts w:hint="eastAsia" w:asciiTheme="minorEastAsia" w:hAnsiTheme="minorEastAsia" w:cstheme="minorEastAsia"/>
          <w:sz w:val="28"/>
          <w:szCs w:val="28"/>
          <w:lang w:val="en-US" w:eastAsia="zh-CN"/>
        </w:rPr>
        <w:t>履行“依申请后实施过程”的行政保障，二者职能性质不同，且前者的职能范围包含后者的职能范围。申请人所在小区是物业管理的小区，2011年已建成交付使用，至今未成立业主大会、选举产生业委会，是被申请人不依法履行法定职责的行政不作为的结果，应确认被申请人的行政不作为的行为违法。</w:t>
      </w:r>
    </w:p>
    <w:p w14:paraId="54589486">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社区成立业主大会进行基层社区自治是法律规定，也符合增强城乡社区群众自我管理、自我服务、自我教育、自我监督的政策导向，且被申请人负有法定指导物业管理小区成立业主大会并选举产生业委会的职责。因此，应判决被申请人在已有的筹备组基础上，依法积极主动指导申请人所在小区及早成立业主大会并产生业委会。</w:t>
      </w:r>
    </w:p>
    <w:p w14:paraId="43A2874D">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请贵院追加被申请人为第三人，支持申请人诉讼请求，依法公正司法。</w:t>
      </w:r>
    </w:p>
    <w:p w14:paraId="7FA8C050">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此致！</w:t>
      </w:r>
    </w:p>
    <w:p w14:paraId="107D417F">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广东省高</w:t>
      </w:r>
      <w:r>
        <w:rPr>
          <w:rFonts w:hint="default" w:asciiTheme="minorEastAsia" w:hAnsiTheme="minorEastAsia" w:cstheme="minorEastAsia"/>
          <w:sz w:val="28"/>
          <w:szCs w:val="28"/>
          <w:lang w:eastAsia="zh-CN"/>
        </w:rPr>
        <w:t>级人民法院</w:t>
      </w:r>
    </w:p>
    <w:p w14:paraId="211D5E13">
      <w:pPr>
        <w:ind w:firstLine="3920" w:firstLineChars="1400"/>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申请人：陈伟祺</w:t>
      </w:r>
    </w:p>
    <w:p w14:paraId="4D7101C5">
      <w:pPr>
        <w:ind w:firstLine="3920" w:firstLineChars="1400"/>
        <w:rPr>
          <w:rFonts w:hint="default"/>
          <w:sz w:val="28"/>
          <w:szCs w:val="28"/>
          <w:lang w:val="en-US" w:eastAsia="zh-CN"/>
        </w:rPr>
      </w:pPr>
      <w:r>
        <w:rPr>
          <w:rFonts w:hint="eastAsia" w:asciiTheme="minorEastAsia" w:hAnsiTheme="minorEastAsia" w:cstheme="minorEastAsia"/>
          <w:sz w:val="28"/>
          <w:szCs w:val="28"/>
          <w:lang w:val="en-US" w:eastAsia="zh-CN"/>
        </w:rPr>
        <w:t>日期：2026年6月4日</w:t>
      </w:r>
    </w:p>
    <w:p w14:paraId="4113CF65">
      <w:pPr>
        <w:jc w:val="left"/>
        <w:rPr>
          <w:rFonts w:hint="eastAsia"/>
          <w:sz w:val="28"/>
          <w:szCs w:val="28"/>
          <w:lang w:val="en-US" w:eastAsia="zh-CN"/>
        </w:rPr>
      </w:pPr>
    </w:p>
    <w:p w14:paraId="3839DE15">
      <w:pPr>
        <w:jc w:val="left"/>
        <w:rPr>
          <w:rFonts w:hint="eastAsia"/>
          <w:sz w:val="28"/>
          <w:szCs w:val="28"/>
          <w:lang w:val="en-US" w:eastAsia="zh-CN"/>
        </w:rPr>
      </w:pPr>
    </w:p>
    <w:p w14:paraId="5247D14F">
      <w:pPr>
        <w:jc w:val="left"/>
        <w:rPr>
          <w:rFonts w:hint="eastAsia"/>
          <w:sz w:val="28"/>
          <w:szCs w:val="28"/>
          <w:lang w:val="en-US" w:eastAsia="zh-CN"/>
        </w:rPr>
      </w:pPr>
    </w:p>
    <w:p w14:paraId="3E393E64">
      <w:pPr>
        <w:jc w:val="left"/>
        <w:rPr>
          <w:rFonts w:hint="eastAsia" w:ascii="方正仿宋简体" w:hAnsi="方正仿宋简体" w:eastAsia="方正仿宋简体" w:cs="方正仿宋简体"/>
          <w:sz w:val="28"/>
          <w:szCs w:val="28"/>
          <w:lang w:val="en-US" w:eastAsia="zh-CN"/>
        </w:rPr>
      </w:pPr>
      <w:r>
        <w:rPr>
          <w:rFonts w:hint="eastAsia"/>
          <w:sz w:val="28"/>
          <w:szCs w:val="28"/>
          <w:lang w:val="en-US" w:eastAsia="zh-CN"/>
        </w:rPr>
        <w:t>附：第三人小公园街道办事处明显故意超法定期限履职的通话录音，请查看链接</w:t>
      </w:r>
      <w:r>
        <w:rPr>
          <w:rFonts w:hint="eastAsia" w:ascii="方正仿宋简体" w:hAnsi="方正仿宋简体" w:eastAsia="方正仿宋简体" w:cs="方正仿宋简体"/>
          <w:sz w:val="28"/>
          <w:szCs w:val="28"/>
          <w:lang w:val="en-US" w:eastAsia="zh-CN"/>
        </w:rPr>
        <w:fldChar w:fldCharType="begin"/>
      </w:r>
      <w:r>
        <w:rPr>
          <w:rFonts w:hint="eastAsia" w:ascii="方正仿宋简体" w:hAnsi="方正仿宋简体" w:eastAsia="方正仿宋简体" w:cs="方正仿宋简体"/>
          <w:sz w:val="28"/>
          <w:szCs w:val="28"/>
          <w:lang w:val="en-US" w:eastAsia="zh-CN"/>
        </w:rPr>
        <w:instrText xml:space="preserve"> HYPERLINK "http://www.gdshufan.com/News/18/221.shtml" </w:instrText>
      </w:r>
      <w:r>
        <w:rPr>
          <w:rFonts w:hint="eastAsia" w:ascii="方正仿宋简体" w:hAnsi="方正仿宋简体" w:eastAsia="方正仿宋简体" w:cs="方正仿宋简体"/>
          <w:sz w:val="28"/>
          <w:szCs w:val="28"/>
          <w:lang w:val="en-US" w:eastAsia="zh-CN"/>
        </w:rPr>
        <w:fldChar w:fldCharType="separate"/>
      </w:r>
      <w:r>
        <w:rPr>
          <w:rStyle w:val="7"/>
          <w:rFonts w:hint="eastAsia" w:ascii="方正仿宋简体" w:hAnsi="方正仿宋简体" w:eastAsia="方正仿宋简体" w:cs="方正仿宋简体"/>
          <w:sz w:val="28"/>
          <w:szCs w:val="28"/>
          <w:lang w:val="en-US" w:eastAsia="zh-CN"/>
        </w:rPr>
        <w:t>http://www.gdshufan.com/News/18/221.shtml</w:t>
      </w:r>
      <w:r>
        <w:rPr>
          <w:rFonts w:hint="eastAsia" w:ascii="方正仿宋简体" w:hAnsi="方正仿宋简体" w:eastAsia="方正仿宋简体" w:cs="方正仿宋简体"/>
          <w:sz w:val="28"/>
          <w:szCs w:val="28"/>
          <w:lang w:val="en-US" w:eastAsia="zh-CN"/>
        </w:rPr>
        <w:fldChar w:fldCharType="end"/>
      </w:r>
    </w:p>
    <w:p w14:paraId="36113A2A">
      <w:pPr>
        <w:jc w:val="left"/>
        <w:rPr>
          <w:rFonts w:hint="default"/>
          <w:lang w:val="en-US" w:eastAsia="zh-CN"/>
        </w:rPr>
      </w:pPr>
      <w:r>
        <w:rPr>
          <w:rFonts w:hint="default" w:ascii="方正仿宋简体" w:hAnsi="方正仿宋简体" w:eastAsia="方正仿宋简体" w:cs="方正仿宋简体"/>
          <w:sz w:val="32"/>
          <w:szCs w:val="32"/>
          <w:lang w:val="en-US" w:eastAsia="zh-CN"/>
        </w:rPr>
        <w:drawing>
          <wp:inline distT="0" distB="0" distL="114300" distR="114300">
            <wp:extent cx="1242695" cy="1242695"/>
            <wp:effectExtent l="0" t="0" r="6985" b="6985"/>
            <wp:docPr id="4" name="44B7C0F4-79DB-4F8B-9303-0E098D69D8BE-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4B7C0F4-79DB-4F8B-9303-0E098D69D8BE-1" descr="wps"/>
                    <pic:cNvPicPr>
                      <a:picLocks noChangeAspect="1"/>
                    </pic:cNvPicPr>
                  </pic:nvPicPr>
                  <pic:blipFill>
                    <a:blip r:embed="rId5"/>
                    <a:stretch>
                      <a:fillRect/>
                    </a:stretch>
                  </pic:blipFill>
                  <pic:spPr>
                    <a:xfrm>
                      <a:off x="0" y="0"/>
                      <a:ext cx="1242695" cy="1242695"/>
                    </a:xfrm>
                    <a:prstGeom prst="rect">
                      <a:avLst/>
                    </a:prstGeom>
                  </pic:spPr>
                </pic:pic>
              </a:graphicData>
            </a:graphic>
          </wp:inline>
        </w:drawing>
      </w:r>
    </w:p>
    <w:p w14:paraId="0A1E72BE">
      <w:pPr>
        <w:rPr>
          <w:rFonts w:hint="eastAsia"/>
          <w:lang w:val="en-US" w:eastAsia="zh-CN"/>
        </w:rPr>
      </w:pPr>
    </w:p>
    <w:p w14:paraId="40782368">
      <w:pPr>
        <w:rPr>
          <w:rFonts w:hint="eastAsia"/>
          <w:lang w:val="en-US" w:eastAsia="zh-CN"/>
        </w:rPr>
      </w:pPr>
    </w:p>
    <w:p w14:paraId="350D0934">
      <w:pPr>
        <w:rPr>
          <w:rFonts w:hint="eastAsia"/>
          <w:lang w:val="en-US" w:eastAsia="zh-CN"/>
        </w:rPr>
      </w:pPr>
    </w:p>
    <w:p w14:paraId="5928CE01">
      <w:pPr>
        <w:rPr>
          <w:rFonts w:hint="eastAsia"/>
          <w:lang w:val="en-US" w:eastAsia="zh-CN"/>
        </w:rPr>
      </w:pPr>
    </w:p>
    <w:p w14:paraId="0C34A51E">
      <w:pPr>
        <w:rPr>
          <w:rFonts w:hint="eastAsia"/>
          <w:lang w:val="en-US" w:eastAsia="zh-CN"/>
        </w:rPr>
      </w:pPr>
    </w:p>
    <w:p w14:paraId="3674C425">
      <w:pPr>
        <w:rPr>
          <w:rFonts w:hint="eastAsia"/>
          <w:lang w:val="en-US" w:eastAsia="zh-CN"/>
        </w:rPr>
      </w:pPr>
    </w:p>
    <w:p w14:paraId="3841399F">
      <w:pPr>
        <w:rPr>
          <w:rFonts w:hint="eastAsia"/>
          <w:lang w:val="en-US" w:eastAsia="zh-CN"/>
        </w:rPr>
      </w:pPr>
    </w:p>
    <w:p w14:paraId="15E44F61">
      <w:pPr>
        <w:rPr>
          <w:rFonts w:hint="eastAsia"/>
          <w:lang w:val="en-US" w:eastAsia="zh-CN"/>
        </w:rPr>
      </w:pPr>
    </w:p>
    <w:p w14:paraId="2D1CFF96">
      <w:pPr>
        <w:rPr>
          <w:rFonts w:hint="eastAsia"/>
          <w:lang w:val="en-US" w:eastAsia="zh-CN"/>
        </w:rPr>
      </w:pPr>
    </w:p>
    <w:p w14:paraId="68E0285A">
      <w:pPr>
        <w:rPr>
          <w:rFonts w:hint="eastAsia"/>
          <w:lang w:val="en-US" w:eastAsia="zh-CN"/>
        </w:rPr>
      </w:pPr>
    </w:p>
    <w:p w14:paraId="60300408">
      <w:pPr>
        <w:rPr>
          <w:rFonts w:hint="eastAsia"/>
          <w:lang w:val="en-US" w:eastAsia="zh-CN"/>
        </w:rPr>
      </w:pPr>
    </w:p>
    <w:p w14:paraId="5D8EF241">
      <w:pPr>
        <w:rPr>
          <w:rFonts w:hint="eastAsia"/>
          <w:lang w:val="en-US" w:eastAsia="zh-CN"/>
        </w:rPr>
      </w:pPr>
    </w:p>
    <w:p w14:paraId="5CD07F33">
      <w:pPr>
        <w:rPr>
          <w:rFonts w:hint="eastAsia"/>
          <w:lang w:val="en-US" w:eastAsia="zh-CN"/>
        </w:rPr>
      </w:pPr>
    </w:p>
    <w:p w14:paraId="16C3DDE0">
      <w:pPr>
        <w:rPr>
          <w:rFonts w:hint="eastAsia"/>
          <w:lang w:val="en-US" w:eastAsia="zh-CN"/>
        </w:rPr>
      </w:pPr>
    </w:p>
    <w:p w14:paraId="4104464C">
      <w:pPr>
        <w:rPr>
          <w:rFonts w:hint="eastAsia"/>
          <w:lang w:val="en-US" w:eastAsia="zh-CN"/>
        </w:rPr>
      </w:pPr>
    </w:p>
    <w:p w14:paraId="3C36F116">
      <w:pPr>
        <w:rPr>
          <w:rFonts w:hint="eastAsia"/>
          <w:lang w:val="en-US" w:eastAsia="zh-CN"/>
        </w:rPr>
      </w:pPr>
    </w:p>
    <w:p w14:paraId="134EA1C1">
      <w:pPr>
        <w:rPr>
          <w:rFonts w:hint="default"/>
          <w:lang w:val="en-US" w:eastAsia="zh-CN"/>
        </w:rPr>
      </w:pPr>
      <w:r>
        <w:rPr>
          <w:rFonts w:hint="eastAsia"/>
          <w:lang w:val="en-US" w:eastAsia="zh-CN"/>
        </w:rPr>
        <w:t>行政诉讼法司法解释</w:t>
      </w:r>
    </w:p>
    <w:p w14:paraId="57C9A2C3">
      <w:pPr>
        <w:rPr>
          <w:rFonts w:hint="default"/>
          <w:lang w:val="en-US" w:eastAsia="zh-CN"/>
        </w:rPr>
      </w:pPr>
      <w:r>
        <w:rPr>
          <w:rFonts w:hint="default"/>
          <w:lang w:val="en-US" w:eastAsia="zh-CN"/>
        </w:rPr>
        <w:t>第五十六条</w:t>
      </w:r>
    </w:p>
    <w:p w14:paraId="5F0EA80A">
      <w:pPr>
        <w:rPr>
          <w:rFonts w:hint="default"/>
          <w:lang w:val="en-US" w:eastAsia="zh-CN"/>
        </w:rPr>
      </w:pPr>
      <w:r>
        <w:rPr>
          <w:rFonts w:hint="default"/>
          <w:lang w:val="en-US" w:eastAsia="zh-CN"/>
        </w:rPr>
        <w:t>法律、法规规定应当先申请复议，公民、法人</w:t>
      </w:r>
    </w:p>
    <w:p w14:paraId="1AA17747">
      <w:pPr>
        <w:rPr>
          <w:rFonts w:hint="default"/>
          <w:lang w:val="en-US" w:eastAsia="zh-CN"/>
        </w:rPr>
      </w:pPr>
      <w:r>
        <w:rPr>
          <w:rFonts w:hint="default"/>
          <w:lang w:val="en-US" w:eastAsia="zh-CN"/>
        </w:rPr>
        <w:t>或者其他组织未申请复议直接提起诉讼的，人民法院裁定不予立</w:t>
      </w:r>
    </w:p>
    <w:p w14:paraId="087648AE">
      <w:pPr>
        <w:rPr>
          <w:rFonts w:hint="default"/>
          <w:lang w:val="en-US" w:eastAsia="zh-CN"/>
        </w:rPr>
      </w:pPr>
      <w:r>
        <w:rPr>
          <w:rFonts w:hint="default"/>
          <w:lang w:val="en-US" w:eastAsia="zh-CN"/>
        </w:rPr>
        <w:t>案。</w:t>
      </w:r>
    </w:p>
    <w:p w14:paraId="21737FF1">
      <w:pPr>
        <w:rPr>
          <w:rFonts w:hint="default"/>
          <w:lang w:val="en-US" w:eastAsia="zh-CN"/>
        </w:rPr>
      </w:pPr>
      <w:r>
        <w:rPr>
          <w:rFonts w:hint="default"/>
          <w:lang w:val="en-US" w:eastAsia="zh-CN"/>
        </w:rPr>
        <w:t>依照行政诉讼法第四十五条的规定，复议机关不受理复议申</w:t>
      </w:r>
    </w:p>
    <w:p w14:paraId="680C06A6">
      <w:pPr>
        <w:rPr>
          <w:rFonts w:hint="default"/>
          <w:lang w:val="en-US" w:eastAsia="zh-CN"/>
        </w:rPr>
      </w:pPr>
      <w:r>
        <w:rPr>
          <w:rFonts w:hint="default"/>
          <w:lang w:val="en-US" w:eastAsia="zh-CN"/>
        </w:rPr>
        <w:t>请或者在法定期限内不作出复议决定，公民、法人或者其他组织</w:t>
      </w:r>
    </w:p>
    <w:p w14:paraId="7FA30085">
      <w:pPr>
        <w:rPr>
          <w:rFonts w:hint="default"/>
          <w:lang w:val="en-US" w:eastAsia="zh-CN"/>
        </w:rPr>
      </w:pPr>
      <w:r>
        <w:rPr>
          <w:rFonts w:hint="default"/>
          <w:lang w:val="en-US" w:eastAsia="zh-CN"/>
        </w:rPr>
        <w:t>不服，依法向人民法院提起诉讼的，人民法院应当依法立案。</w:t>
      </w:r>
    </w:p>
    <w:p w14:paraId="76FE422E">
      <w:pPr>
        <w:rPr>
          <w:rFonts w:hint="default"/>
          <w:lang w:val="en-US" w:eastAsia="zh-CN"/>
        </w:rPr>
      </w:pPr>
    </w:p>
    <w:p w14:paraId="28FB98B6">
      <w:pPr>
        <w:rPr>
          <w:rFonts w:hint="default"/>
          <w:lang w:val="en-US" w:eastAsia="zh-CN"/>
        </w:rPr>
      </w:pPr>
      <w:r>
        <w:rPr>
          <w:rFonts w:hint="default"/>
          <w:lang w:val="en-US" w:eastAsia="zh-CN"/>
        </w:rPr>
        <w:t>第五十九条</w:t>
      </w:r>
    </w:p>
    <w:p w14:paraId="54487315">
      <w:pPr>
        <w:rPr>
          <w:rFonts w:hint="default"/>
          <w:lang w:val="en-US" w:eastAsia="zh-CN"/>
        </w:rPr>
      </w:pPr>
      <w:r>
        <w:rPr>
          <w:rFonts w:hint="default"/>
          <w:lang w:val="en-US" w:eastAsia="zh-CN"/>
        </w:rPr>
        <w:t>公民、法人或者其他组织向复议机关申请行政</w:t>
      </w:r>
    </w:p>
    <w:p w14:paraId="495E80F8">
      <w:pPr>
        <w:rPr>
          <w:rFonts w:hint="default"/>
          <w:lang w:val="en-US" w:eastAsia="zh-CN"/>
        </w:rPr>
      </w:pPr>
      <w:r>
        <w:rPr>
          <w:rFonts w:hint="default"/>
          <w:lang w:val="en-US" w:eastAsia="zh-CN"/>
        </w:rPr>
        <w:t>复议后，复议机关作出维持决定的，应当以复议机关和原行为机</w:t>
      </w:r>
    </w:p>
    <w:p w14:paraId="5F2DA80E">
      <w:pPr>
        <w:rPr>
          <w:rFonts w:hint="default"/>
          <w:lang w:val="en-US" w:eastAsia="zh-CN"/>
        </w:rPr>
      </w:pPr>
      <w:r>
        <w:rPr>
          <w:rFonts w:hint="default"/>
          <w:lang w:val="en-US" w:eastAsia="zh-CN"/>
        </w:rPr>
        <w:t>关为共同被告，并以复议决定送达时间确定起诉期限。</w:t>
      </w:r>
    </w:p>
    <w:p w14:paraId="6E608AA6">
      <w:pPr>
        <w:rPr>
          <w:rFonts w:hint="default"/>
          <w:lang w:val="en-US" w:eastAsia="zh-CN"/>
        </w:rPr>
      </w:pPr>
    </w:p>
    <w:p w14:paraId="382C4D33">
      <w:pPr>
        <w:rPr>
          <w:rFonts w:hint="default"/>
          <w:lang w:val="en-US" w:eastAsia="zh-CN"/>
        </w:rPr>
      </w:pPr>
      <w:r>
        <w:rPr>
          <w:rFonts w:hint="eastAsia"/>
          <w:lang w:val="en-US" w:eastAsia="zh-CN"/>
        </w:rPr>
        <w:t>行政诉讼法</w:t>
      </w:r>
    </w:p>
    <w:p w14:paraId="22035106">
      <w:pPr>
        <w:rPr>
          <w:rFonts w:hint="default"/>
          <w:lang w:val="en-US" w:eastAsia="zh-CN"/>
        </w:rPr>
      </w:pPr>
      <w:r>
        <w:rPr>
          <w:rFonts w:hint="default"/>
          <w:lang w:val="en-US" w:eastAsia="zh-CN"/>
        </w:rPr>
        <w:t>第十八条</w:t>
      </w:r>
    </w:p>
    <w:p w14:paraId="6134AF16">
      <w:pPr>
        <w:rPr>
          <w:rFonts w:hint="default"/>
          <w:lang w:val="en-US" w:eastAsia="zh-CN"/>
        </w:rPr>
      </w:pPr>
      <w:r>
        <w:rPr>
          <w:rFonts w:hint="default"/>
          <w:lang w:val="en-US" w:eastAsia="zh-CN"/>
        </w:rPr>
        <w:t>行政案件由最初作出行政行为的行政机关所在</w:t>
      </w:r>
    </w:p>
    <w:p w14:paraId="1D5F8909">
      <w:pPr>
        <w:rPr>
          <w:rFonts w:hint="default"/>
          <w:lang w:val="en-US" w:eastAsia="zh-CN"/>
        </w:rPr>
      </w:pPr>
      <w:r>
        <w:rPr>
          <w:rFonts w:hint="default"/>
          <w:lang w:val="en-US" w:eastAsia="zh-CN"/>
        </w:rPr>
        <w:t>地人民法院管辖。经复议的案件，也可以由复议机关所在地人民</w:t>
      </w:r>
    </w:p>
    <w:p w14:paraId="7C5A7080">
      <w:pPr>
        <w:rPr>
          <w:rFonts w:hint="default"/>
          <w:lang w:val="en-US" w:eastAsia="zh-CN"/>
        </w:rPr>
      </w:pPr>
      <w:r>
        <w:rPr>
          <w:rFonts w:hint="default"/>
          <w:lang w:val="en-US" w:eastAsia="zh-CN"/>
        </w:rPr>
        <w:t>法院管辖。</w:t>
      </w:r>
    </w:p>
    <w:p w14:paraId="050405C7">
      <w:pPr>
        <w:rPr>
          <w:rFonts w:hint="default"/>
          <w:lang w:val="en-US" w:eastAsia="zh-CN"/>
        </w:rPr>
      </w:pPr>
    </w:p>
    <w:p w14:paraId="56A6FD19">
      <w:pPr>
        <w:rPr>
          <w:rFonts w:hint="default"/>
          <w:lang w:val="en-US" w:eastAsia="zh-CN"/>
        </w:rPr>
      </w:pPr>
      <w:r>
        <w:rPr>
          <w:rFonts w:hint="default"/>
          <w:lang w:val="en-US" w:eastAsia="zh-CN"/>
        </w:rPr>
        <w:t>第二十六条</w:t>
      </w:r>
    </w:p>
    <w:p w14:paraId="5CC8AD9C">
      <w:pPr>
        <w:rPr>
          <w:rFonts w:hint="default"/>
          <w:lang w:val="en-US" w:eastAsia="zh-CN"/>
        </w:rPr>
      </w:pPr>
      <w:r>
        <w:rPr>
          <w:rFonts w:hint="default"/>
          <w:lang w:val="en-US" w:eastAsia="zh-CN"/>
        </w:rPr>
        <w:t>公民、法人或者其他组织直接向人民法院提起</w:t>
      </w:r>
    </w:p>
    <w:p w14:paraId="57D766F1">
      <w:pPr>
        <w:rPr>
          <w:rFonts w:hint="default"/>
          <w:lang w:val="en-US" w:eastAsia="zh-CN"/>
        </w:rPr>
      </w:pPr>
      <w:r>
        <w:rPr>
          <w:rFonts w:hint="default"/>
          <w:lang w:val="en-US" w:eastAsia="zh-CN"/>
        </w:rPr>
        <w:t>诉讼的，作出行政行为的行政机关是被告。</w:t>
      </w:r>
    </w:p>
    <w:p w14:paraId="020B6C9C">
      <w:pPr>
        <w:rPr>
          <w:rFonts w:hint="default"/>
          <w:lang w:val="en-US" w:eastAsia="zh-CN"/>
        </w:rPr>
      </w:pPr>
      <w:r>
        <w:rPr>
          <w:rFonts w:hint="default"/>
          <w:lang w:val="en-US" w:eastAsia="zh-CN"/>
        </w:rPr>
        <w:t>经复议的案件，复议机关决定维持原行政行为的，作出原行</w:t>
      </w:r>
    </w:p>
    <w:p w14:paraId="5F010FE6">
      <w:pPr>
        <w:rPr>
          <w:rFonts w:hint="default"/>
          <w:lang w:val="en-US" w:eastAsia="zh-CN"/>
        </w:rPr>
      </w:pPr>
      <w:r>
        <w:rPr>
          <w:rFonts w:hint="default"/>
          <w:lang w:val="en-US" w:eastAsia="zh-CN"/>
        </w:rPr>
        <w:t>政行为的行政机关和复议机关是共同被告；复议机关改变原行政</w:t>
      </w:r>
    </w:p>
    <w:p w14:paraId="3823C392">
      <w:pPr>
        <w:rPr>
          <w:rFonts w:hint="default"/>
          <w:lang w:val="en-US" w:eastAsia="zh-CN"/>
        </w:rPr>
      </w:pPr>
      <w:r>
        <w:rPr>
          <w:rFonts w:hint="default"/>
          <w:lang w:val="en-US" w:eastAsia="zh-CN"/>
        </w:rPr>
        <w:t>行为的，复议机关是被告。</w:t>
      </w:r>
    </w:p>
    <w:p w14:paraId="4BD0FDFA">
      <w:pPr>
        <w:rPr>
          <w:rFonts w:hint="default"/>
          <w:lang w:val="en-US" w:eastAsia="zh-CN"/>
        </w:rPr>
      </w:pPr>
      <w:r>
        <w:rPr>
          <w:rFonts w:hint="default"/>
          <w:lang w:val="en-US" w:eastAsia="zh-CN"/>
        </w:rPr>
        <w:t>复议机关在法定期限内未作出复议决定，公民、法人或者其</w:t>
      </w:r>
    </w:p>
    <w:p w14:paraId="43313B0A">
      <w:pPr>
        <w:rPr>
          <w:rFonts w:hint="default"/>
          <w:lang w:val="en-US" w:eastAsia="zh-CN"/>
        </w:rPr>
      </w:pPr>
      <w:r>
        <w:rPr>
          <w:rFonts w:hint="default"/>
          <w:lang w:val="en-US" w:eastAsia="zh-CN"/>
        </w:rPr>
        <w:t>他组织起诉原行政行为的，作出原行政行为的行政机关是被告；</w:t>
      </w:r>
    </w:p>
    <w:p w14:paraId="7C41CC56">
      <w:pPr>
        <w:rPr>
          <w:rFonts w:hint="default"/>
          <w:lang w:val="en-US" w:eastAsia="zh-CN"/>
        </w:rPr>
      </w:pPr>
      <w:r>
        <w:rPr>
          <w:rFonts w:hint="default"/>
          <w:lang w:val="en-US" w:eastAsia="zh-CN"/>
        </w:rPr>
        <w:t>起诉复议机关不作为的，复议机关是被告。</w:t>
      </w:r>
    </w:p>
    <w:p w14:paraId="1AEC0CF9">
      <w:pPr>
        <w:rPr>
          <w:rFonts w:hint="default"/>
          <w:lang w:val="en-US" w:eastAsia="zh-CN"/>
        </w:rPr>
      </w:pPr>
      <w:r>
        <w:rPr>
          <w:rFonts w:hint="default"/>
          <w:lang w:val="en-US" w:eastAsia="zh-CN"/>
        </w:rPr>
        <w:t>两个以上行政机关作出同一行政行为的，共同作出行政行为</w:t>
      </w:r>
    </w:p>
    <w:p w14:paraId="4C7F4090">
      <w:pPr>
        <w:rPr>
          <w:rFonts w:hint="default"/>
          <w:lang w:val="en-US" w:eastAsia="zh-CN"/>
        </w:rPr>
      </w:pPr>
      <w:r>
        <w:rPr>
          <w:rFonts w:hint="default"/>
          <w:lang w:val="en-US" w:eastAsia="zh-CN"/>
        </w:rPr>
        <w:t>的行政机关是共同被告。</w:t>
      </w:r>
    </w:p>
    <w:p w14:paraId="68944218">
      <w:pPr>
        <w:rPr>
          <w:rFonts w:hint="default"/>
          <w:lang w:val="en-US" w:eastAsia="zh-CN"/>
        </w:rPr>
      </w:pPr>
      <w:r>
        <w:rPr>
          <w:rFonts w:hint="default"/>
          <w:lang w:val="en-US" w:eastAsia="zh-CN"/>
        </w:rPr>
        <w:t>行政机关委托的组织所作的行政行为，委托的行政机关是被</w:t>
      </w:r>
    </w:p>
    <w:p w14:paraId="6672DF54">
      <w:pPr>
        <w:rPr>
          <w:rFonts w:hint="default"/>
          <w:lang w:val="en-US" w:eastAsia="zh-CN"/>
        </w:rPr>
      </w:pPr>
      <w:r>
        <w:rPr>
          <w:rFonts w:hint="default"/>
          <w:lang w:val="en-US" w:eastAsia="zh-CN"/>
        </w:rPr>
        <w:t>告。</w:t>
      </w:r>
    </w:p>
    <w:p w14:paraId="1B6232F5">
      <w:pPr>
        <w:rPr>
          <w:rFonts w:hint="default"/>
          <w:lang w:val="en-US" w:eastAsia="zh-CN"/>
        </w:rPr>
      </w:pPr>
      <w:r>
        <w:rPr>
          <w:rFonts w:hint="default"/>
          <w:lang w:val="en-US" w:eastAsia="zh-CN"/>
        </w:rPr>
        <w:t>行政机关被撤销或者职权变更的，继续行使其职权的行政机</w:t>
      </w:r>
    </w:p>
    <w:p w14:paraId="4FFC7481">
      <w:pPr>
        <w:rPr>
          <w:rFonts w:hint="default"/>
          <w:lang w:val="en-US" w:eastAsia="zh-CN"/>
        </w:rPr>
      </w:pPr>
      <w:r>
        <w:rPr>
          <w:rFonts w:hint="default"/>
          <w:lang w:val="en-US" w:eastAsia="zh-CN"/>
        </w:rPr>
        <w:t>关是被告。</w:t>
      </w:r>
    </w:p>
    <w:p w14:paraId="40847880">
      <w:pPr>
        <w:rPr>
          <w:rFonts w:hint="default"/>
          <w:lang w:val="en-US" w:eastAsia="zh-CN"/>
        </w:rPr>
      </w:pPr>
    </w:p>
    <w:p w14:paraId="3F82950A">
      <w:pPr>
        <w:rPr>
          <w:rFonts w:hint="eastAsia"/>
          <w:lang w:val="en-US" w:eastAsia="zh-CN"/>
        </w:rPr>
      </w:pPr>
      <w:r>
        <w:rPr>
          <w:rFonts w:hint="eastAsia"/>
          <w:lang w:val="en-US" w:eastAsia="zh-CN"/>
        </w:rPr>
        <w:t>司法解释</w:t>
      </w:r>
    </w:p>
    <w:p w14:paraId="69E505F0">
      <w:pPr>
        <w:rPr>
          <w:rFonts w:hint="default"/>
          <w:lang w:val="en-US" w:eastAsia="zh-CN"/>
        </w:rPr>
      </w:pPr>
      <w:r>
        <w:rPr>
          <w:rFonts w:hint="default"/>
          <w:lang w:val="en-US" w:eastAsia="zh-CN"/>
        </w:rPr>
        <w:t>第一百三十四条</w:t>
      </w:r>
    </w:p>
    <w:p w14:paraId="430015A3">
      <w:pPr>
        <w:rPr>
          <w:rFonts w:hint="default"/>
          <w:lang w:val="en-US" w:eastAsia="zh-CN"/>
        </w:rPr>
      </w:pPr>
      <w:r>
        <w:rPr>
          <w:rFonts w:hint="default"/>
          <w:lang w:val="en-US" w:eastAsia="zh-CN"/>
        </w:rPr>
        <w:t>复议机关决定维持原行政行为的，作出原</w:t>
      </w:r>
    </w:p>
    <w:p w14:paraId="1AB276EA">
      <w:pPr>
        <w:rPr>
          <w:rFonts w:hint="default"/>
          <w:lang w:val="en-US" w:eastAsia="zh-CN"/>
        </w:rPr>
      </w:pPr>
      <w:r>
        <w:rPr>
          <w:rFonts w:hint="default"/>
          <w:lang w:val="en-US" w:eastAsia="zh-CN"/>
        </w:rPr>
        <w:t>行政行为的行政机关和复议机关是共同被告。原告只起诉作出原</w:t>
      </w:r>
    </w:p>
    <w:p w14:paraId="69D1C9C8">
      <w:pPr>
        <w:rPr>
          <w:rFonts w:hint="default"/>
          <w:lang w:val="en-US" w:eastAsia="zh-CN"/>
        </w:rPr>
      </w:pPr>
      <w:r>
        <w:rPr>
          <w:rFonts w:hint="default"/>
          <w:lang w:val="en-US" w:eastAsia="zh-CN"/>
        </w:rPr>
        <w:t>行政行为的行政机关或者复议机关的，人民法院应当告知原告追</w:t>
      </w:r>
    </w:p>
    <w:p w14:paraId="46ED6483">
      <w:pPr>
        <w:rPr>
          <w:rFonts w:hint="default"/>
          <w:lang w:val="en-US" w:eastAsia="zh-CN"/>
        </w:rPr>
      </w:pPr>
      <w:r>
        <w:rPr>
          <w:rFonts w:hint="default"/>
          <w:lang w:val="en-US" w:eastAsia="zh-CN"/>
        </w:rPr>
        <w:t>加被告。原告不同意追加的，人民法院应当将另一机关列为共同</w:t>
      </w:r>
    </w:p>
    <w:p w14:paraId="5A15B485">
      <w:pPr>
        <w:rPr>
          <w:rFonts w:hint="default"/>
          <w:lang w:val="en-US" w:eastAsia="zh-CN"/>
        </w:rPr>
      </w:pPr>
      <w:r>
        <w:rPr>
          <w:rFonts w:hint="default"/>
          <w:lang w:val="en-US" w:eastAsia="zh-CN"/>
        </w:rPr>
        <w:t>被告。</w:t>
      </w:r>
    </w:p>
    <w:p w14:paraId="5088823E">
      <w:pPr>
        <w:rPr>
          <w:rFonts w:hint="default"/>
          <w:lang w:val="en-US" w:eastAsia="zh-CN"/>
        </w:rPr>
      </w:pPr>
      <w:r>
        <w:rPr>
          <w:rFonts w:hint="default"/>
          <w:lang w:val="en-US" w:eastAsia="zh-CN"/>
        </w:rPr>
        <w:t>行政复议决定既有维持原行政行为内容，又有改变原行政行</w:t>
      </w:r>
    </w:p>
    <w:p w14:paraId="46E7A86E">
      <w:pPr>
        <w:rPr>
          <w:rFonts w:hint="default"/>
          <w:lang w:val="en-US" w:eastAsia="zh-CN"/>
        </w:rPr>
      </w:pPr>
      <w:r>
        <w:rPr>
          <w:rFonts w:hint="default"/>
          <w:lang w:val="en-US" w:eastAsia="zh-CN"/>
        </w:rPr>
        <w:t>为内容或者不予受理申请内容的，作出原行政行为的行政机关和</w:t>
      </w:r>
    </w:p>
    <w:p w14:paraId="1B1AF6A5">
      <w:pPr>
        <w:rPr>
          <w:rFonts w:hint="default"/>
          <w:lang w:val="en-US" w:eastAsia="zh-CN"/>
        </w:rPr>
      </w:pPr>
      <w:r>
        <w:rPr>
          <w:rFonts w:hint="default"/>
          <w:lang w:val="en-US" w:eastAsia="zh-CN"/>
        </w:rPr>
        <w:t>复议机关为共同被告。</w:t>
      </w:r>
    </w:p>
    <w:p w14:paraId="2AFF7F3C">
      <w:pPr>
        <w:rPr>
          <w:rFonts w:hint="default"/>
          <w:lang w:val="en-US" w:eastAsia="zh-CN"/>
        </w:rPr>
      </w:pPr>
      <w:r>
        <w:rPr>
          <w:rFonts w:hint="default"/>
          <w:lang w:val="en-US" w:eastAsia="zh-CN"/>
        </w:rPr>
        <w:t>复议机关作共同被告的案件，以作出原行政行为的行政机关</w:t>
      </w:r>
    </w:p>
    <w:p w14:paraId="50835235">
      <w:pPr>
        <w:rPr>
          <w:rFonts w:hint="default"/>
          <w:lang w:val="en-US" w:eastAsia="zh-CN"/>
        </w:rPr>
      </w:pPr>
      <w:r>
        <w:rPr>
          <w:rFonts w:hint="default"/>
          <w:lang w:val="en-US" w:eastAsia="zh-CN"/>
        </w:rPr>
        <w:t>确定案件的级别管辖。</w:t>
      </w:r>
    </w:p>
    <w:p w14:paraId="1A5AB7F3">
      <w:pPr>
        <w:rPr>
          <w:rFonts w:hint="default"/>
          <w:lang w:val="en-US" w:eastAsia="zh-CN"/>
        </w:rPr>
      </w:pPr>
    </w:p>
    <w:p w14:paraId="2F4C1347">
      <w:pPr>
        <w:rPr>
          <w:rFonts w:hint="default"/>
          <w:lang w:val="en-US" w:eastAsia="zh-CN"/>
        </w:rPr>
      </w:pPr>
      <w:r>
        <w:rPr>
          <w:rFonts w:hint="default"/>
          <w:lang w:val="en-US" w:eastAsia="zh-CN"/>
        </w:rPr>
        <w:t>第二十四条</w:t>
      </w:r>
    </w:p>
    <w:p w14:paraId="6BE450B9">
      <w:pPr>
        <w:rPr>
          <w:rFonts w:hint="default"/>
          <w:lang w:val="en-US" w:eastAsia="zh-CN"/>
        </w:rPr>
      </w:pPr>
      <w:r>
        <w:rPr>
          <w:rFonts w:hint="default"/>
          <w:lang w:val="en-US" w:eastAsia="zh-CN"/>
        </w:rPr>
        <w:t>当事人对村民委员会或者居民委员会依据法</w:t>
      </w:r>
    </w:p>
    <w:p w14:paraId="5F551F93">
      <w:pPr>
        <w:rPr>
          <w:rFonts w:hint="default"/>
          <w:lang w:val="en-US" w:eastAsia="zh-CN"/>
        </w:rPr>
      </w:pPr>
      <w:r>
        <w:rPr>
          <w:rFonts w:hint="default"/>
          <w:lang w:val="en-US" w:eastAsia="zh-CN"/>
        </w:rPr>
        <w:t>律、法规、规章的授权履行行政管理职责的行为不服提起诉讼的，</w:t>
      </w:r>
    </w:p>
    <w:p w14:paraId="6C6E8B2A">
      <w:pPr>
        <w:rPr>
          <w:rFonts w:hint="default"/>
          <w:lang w:val="en-US" w:eastAsia="zh-CN"/>
        </w:rPr>
      </w:pPr>
      <w:r>
        <w:rPr>
          <w:rFonts w:hint="default"/>
          <w:lang w:val="en-US" w:eastAsia="zh-CN"/>
        </w:rPr>
        <w:t>以村民委员会或者居民委员会为被告。</w:t>
      </w:r>
    </w:p>
    <w:p w14:paraId="30657336">
      <w:pPr>
        <w:rPr>
          <w:rFonts w:hint="default"/>
          <w:lang w:val="en-US" w:eastAsia="zh-CN"/>
        </w:rPr>
      </w:pPr>
      <w:r>
        <w:rPr>
          <w:rFonts w:hint="default"/>
          <w:lang w:val="en-US" w:eastAsia="zh-CN"/>
        </w:rPr>
        <w:t>－8－</w:t>
      </w:r>
    </w:p>
    <w:p w14:paraId="4B5E3D3A">
      <w:pPr>
        <w:rPr>
          <w:rFonts w:hint="default"/>
          <w:lang w:val="en-US" w:eastAsia="zh-CN"/>
        </w:rPr>
      </w:pPr>
      <w:r>
        <w:rPr>
          <w:rFonts w:hint="default"/>
          <w:lang w:val="en-US" w:eastAsia="zh-CN"/>
        </w:rPr>
        <w:t>当事人对村民委员会、居民委员会受行政机关委托作出的行</w:t>
      </w:r>
    </w:p>
    <w:p w14:paraId="2CEACF25">
      <w:pPr>
        <w:rPr>
          <w:rFonts w:hint="default"/>
          <w:lang w:val="en-US" w:eastAsia="zh-CN"/>
        </w:rPr>
      </w:pPr>
      <w:r>
        <w:rPr>
          <w:rFonts w:hint="default"/>
          <w:lang w:val="en-US" w:eastAsia="zh-CN"/>
        </w:rPr>
        <w:t>为不服提起诉讼的，以委托的行政机关为被告。</w:t>
      </w:r>
    </w:p>
    <w:p w14:paraId="5C962123">
      <w:pPr>
        <w:rPr>
          <w:rFonts w:hint="default"/>
          <w:lang w:val="en-US" w:eastAsia="zh-CN"/>
        </w:rPr>
      </w:pPr>
    </w:p>
    <w:p w14:paraId="24C0088B">
      <w:pPr>
        <w:rPr>
          <w:rFonts w:hint="default"/>
          <w:lang w:val="en-US" w:eastAsia="zh-CN"/>
        </w:rPr>
      </w:pPr>
      <w:r>
        <w:rPr>
          <w:rFonts w:hint="default"/>
          <w:lang w:val="en-US" w:eastAsia="zh-CN"/>
        </w:rPr>
        <w:t>第五十六条</w:t>
      </w:r>
    </w:p>
    <w:p w14:paraId="25626CC9">
      <w:pPr>
        <w:rPr>
          <w:rFonts w:hint="default"/>
          <w:lang w:val="en-US" w:eastAsia="zh-CN"/>
        </w:rPr>
      </w:pPr>
      <w:r>
        <w:rPr>
          <w:rFonts w:hint="default"/>
          <w:lang w:val="en-US" w:eastAsia="zh-CN"/>
        </w:rPr>
        <w:t>法律、法规规定应当先申请复议，公民、法人</w:t>
      </w:r>
    </w:p>
    <w:p w14:paraId="36124927">
      <w:pPr>
        <w:rPr>
          <w:rFonts w:hint="default"/>
          <w:lang w:val="en-US" w:eastAsia="zh-CN"/>
        </w:rPr>
      </w:pPr>
      <w:r>
        <w:rPr>
          <w:rFonts w:hint="default"/>
          <w:lang w:val="en-US" w:eastAsia="zh-CN"/>
        </w:rPr>
        <w:t>或者其他组织未申请复议直接提起诉讼的，人民法院裁定不予立</w:t>
      </w:r>
    </w:p>
    <w:p w14:paraId="5207E08F">
      <w:pPr>
        <w:rPr>
          <w:rFonts w:hint="default"/>
          <w:lang w:val="en-US" w:eastAsia="zh-CN"/>
        </w:rPr>
      </w:pPr>
      <w:r>
        <w:rPr>
          <w:rFonts w:hint="default"/>
          <w:lang w:val="en-US" w:eastAsia="zh-CN"/>
        </w:rPr>
        <w:t>案。</w:t>
      </w:r>
    </w:p>
    <w:p w14:paraId="022C5719">
      <w:pPr>
        <w:rPr>
          <w:rFonts w:hint="default"/>
          <w:lang w:val="en-US" w:eastAsia="zh-CN"/>
        </w:rPr>
      </w:pPr>
      <w:r>
        <w:rPr>
          <w:rFonts w:hint="default"/>
          <w:lang w:val="en-US" w:eastAsia="zh-CN"/>
        </w:rPr>
        <w:t>依照行政诉讼法第四十五条的规定，复议机关不受理复议申</w:t>
      </w:r>
    </w:p>
    <w:p w14:paraId="21CA887C">
      <w:pPr>
        <w:rPr>
          <w:rFonts w:hint="default"/>
          <w:lang w:val="en-US" w:eastAsia="zh-CN"/>
        </w:rPr>
      </w:pPr>
      <w:r>
        <w:rPr>
          <w:rFonts w:hint="default"/>
          <w:lang w:val="en-US" w:eastAsia="zh-CN"/>
        </w:rPr>
        <w:t>请或者在法定期限内不作出复议决定，公民、法人或者其他组织</w:t>
      </w:r>
    </w:p>
    <w:p w14:paraId="018634EF">
      <w:pPr>
        <w:rPr>
          <w:rFonts w:hint="default"/>
          <w:lang w:val="en-US" w:eastAsia="zh-CN"/>
        </w:rPr>
      </w:pPr>
      <w:r>
        <w:rPr>
          <w:rFonts w:hint="default"/>
          <w:lang w:val="en-US" w:eastAsia="zh-CN"/>
        </w:rPr>
        <w:t>不服，依法向人民法院提起诉讼的，人民法院应当依法立案。</w:t>
      </w:r>
    </w:p>
    <w:p w14:paraId="404C3055">
      <w:pPr>
        <w:rPr>
          <w:rFonts w:hint="default"/>
          <w:lang w:val="en-US" w:eastAsia="zh-CN"/>
        </w:rPr>
      </w:pPr>
    </w:p>
    <w:p w14:paraId="331BC3BA">
      <w:pPr>
        <w:rPr>
          <w:rFonts w:hint="default"/>
          <w:lang w:val="en-US" w:eastAsia="zh-CN"/>
        </w:rPr>
      </w:pPr>
      <w:r>
        <w:rPr>
          <w:rFonts w:hint="default"/>
          <w:lang w:val="en-US" w:eastAsia="zh-CN"/>
        </w:rPr>
        <w:t>第五十九条</w:t>
      </w:r>
    </w:p>
    <w:p w14:paraId="0CF0FF93">
      <w:pPr>
        <w:rPr>
          <w:rFonts w:hint="default"/>
          <w:lang w:val="en-US" w:eastAsia="zh-CN"/>
        </w:rPr>
      </w:pPr>
      <w:r>
        <w:rPr>
          <w:rFonts w:hint="default"/>
          <w:lang w:val="en-US" w:eastAsia="zh-CN"/>
        </w:rPr>
        <w:t>公民、法人或者其他组织向复议机关申请行政</w:t>
      </w:r>
    </w:p>
    <w:p w14:paraId="6799F341">
      <w:pPr>
        <w:rPr>
          <w:rFonts w:hint="default"/>
          <w:lang w:val="en-US" w:eastAsia="zh-CN"/>
        </w:rPr>
      </w:pPr>
      <w:r>
        <w:rPr>
          <w:rFonts w:hint="default"/>
          <w:lang w:val="en-US" w:eastAsia="zh-CN"/>
        </w:rPr>
        <w:t>复议后，复议机关作出维持决定的，应当以复议机关和原行为机</w:t>
      </w:r>
    </w:p>
    <w:p w14:paraId="1453E465">
      <w:pPr>
        <w:rPr>
          <w:rFonts w:hint="default"/>
          <w:lang w:val="en-US" w:eastAsia="zh-CN"/>
        </w:rPr>
      </w:pPr>
      <w:r>
        <w:rPr>
          <w:rFonts w:hint="default"/>
          <w:lang w:val="en-US" w:eastAsia="zh-CN"/>
        </w:rPr>
        <w:t>关为共同被告，并以复议决定送达时间确定起诉期限。</w:t>
      </w:r>
    </w:p>
    <w:p w14:paraId="69F0D4F8">
      <w:pPr>
        <w:rPr>
          <w:rFonts w:hint="default"/>
          <w:lang w:val="en-US" w:eastAsia="zh-CN"/>
        </w:rPr>
      </w:pPr>
    </w:p>
    <w:p w14:paraId="794448B7">
      <w:pPr>
        <w:rPr>
          <w:rFonts w:hint="default"/>
          <w:lang w:val="en-US" w:eastAsia="zh-CN"/>
        </w:rPr>
      </w:pPr>
      <w:r>
        <w:rPr>
          <w:rFonts w:hint="default"/>
          <w:lang w:val="en-US" w:eastAsia="zh-CN"/>
        </w:rPr>
        <w:t>第十二条</w:t>
      </w:r>
    </w:p>
    <w:p w14:paraId="5488A43C">
      <w:pPr>
        <w:rPr>
          <w:rFonts w:hint="default"/>
          <w:lang w:val="en-US" w:eastAsia="zh-CN"/>
        </w:rPr>
      </w:pPr>
      <w:r>
        <w:rPr>
          <w:rFonts w:hint="default"/>
          <w:lang w:val="en-US" w:eastAsia="zh-CN"/>
        </w:rPr>
        <w:t>有下列情形之一的，属于行政诉讼法第二十五条</w:t>
      </w:r>
    </w:p>
    <w:p w14:paraId="0548EEB3">
      <w:pPr>
        <w:rPr>
          <w:rFonts w:hint="default"/>
          <w:lang w:val="en-US" w:eastAsia="zh-CN"/>
        </w:rPr>
      </w:pPr>
      <w:r>
        <w:rPr>
          <w:rFonts w:hint="default"/>
          <w:lang w:val="en-US" w:eastAsia="zh-CN"/>
        </w:rPr>
        <w:t>第一款规定的“与行政行为有利害关系”：</w:t>
      </w:r>
    </w:p>
    <w:p w14:paraId="6BFA9A12">
      <w:pPr>
        <w:rPr>
          <w:rFonts w:hint="default"/>
          <w:lang w:val="en-US" w:eastAsia="zh-CN"/>
        </w:rPr>
      </w:pPr>
      <w:r>
        <w:rPr>
          <w:rFonts w:hint="default"/>
          <w:lang w:val="en-US" w:eastAsia="zh-CN"/>
        </w:rPr>
        <w:t>（一）被诉的行政行为涉及其相邻权或者公平竞争权的；</w:t>
      </w:r>
    </w:p>
    <w:p w14:paraId="39397A98">
      <w:pPr>
        <w:rPr>
          <w:rFonts w:hint="default"/>
          <w:lang w:val="en-US" w:eastAsia="zh-CN"/>
        </w:rPr>
      </w:pPr>
      <w:r>
        <w:rPr>
          <w:rFonts w:hint="default"/>
          <w:lang w:val="en-US" w:eastAsia="zh-CN"/>
        </w:rPr>
        <w:t>（二）在行政复议等行政程序中被追加为第三人的；</w:t>
      </w:r>
    </w:p>
    <w:p w14:paraId="319338A8">
      <w:pPr>
        <w:rPr>
          <w:rFonts w:hint="default"/>
          <w:lang w:val="en-US" w:eastAsia="zh-CN"/>
        </w:rPr>
      </w:pPr>
      <w:r>
        <w:rPr>
          <w:rFonts w:hint="default"/>
          <w:lang w:val="en-US" w:eastAsia="zh-CN"/>
        </w:rPr>
        <w:t>（三）要求行政机关依法追究加害人法律责任的；</w:t>
      </w:r>
    </w:p>
    <w:p w14:paraId="607501A7">
      <w:pPr>
        <w:rPr>
          <w:rFonts w:hint="default"/>
          <w:lang w:val="en-US" w:eastAsia="zh-CN"/>
        </w:rPr>
      </w:pPr>
      <w:r>
        <w:rPr>
          <w:rFonts w:hint="default"/>
          <w:lang w:val="en-US" w:eastAsia="zh-CN"/>
        </w:rPr>
        <w:t>（四）撤销或者变更行政行为涉及其合法权益的；</w:t>
      </w:r>
    </w:p>
    <w:p w14:paraId="0E780CEE">
      <w:pPr>
        <w:rPr>
          <w:rFonts w:hint="default"/>
          <w:lang w:val="en-US" w:eastAsia="zh-CN"/>
        </w:rPr>
      </w:pPr>
      <w:r>
        <w:rPr>
          <w:rFonts w:hint="default"/>
          <w:lang w:val="en-US" w:eastAsia="zh-CN"/>
        </w:rPr>
        <w:t>（五）为维护自身合法权益向行政机关投诉，具有处理投诉</w:t>
      </w:r>
    </w:p>
    <w:p w14:paraId="735C30F3">
      <w:pPr>
        <w:rPr>
          <w:rFonts w:hint="default"/>
          <w:lang w:val="en-US" w:eastAsia="zh-CN"/>
        </w:rPr>
      </w:pPr>
      <w:r>
        <w:rPr>
          <w:rFonts w:hint="default"/>
          <w:lang w:val="en-US" w:eastAsia="zh-CN"/>
        </w:rPr>
        <w:t>职责的行政机关作出或者未作出处理的；</w:t>
      </w:r>
    </w:p>
    <w:p w14:paraId="7301BE95">
      <w:pPr>
        <w:rPr>
          <w:rFonts w:hint="default"/>
          <w:lang w:val="en-US" w:eastAsia="zh-CN"/>
        </w:rPr>
      </w:pPr>
      <w:r>
        <w:rPr>
          <w:rFonts w:hint="default"/>
          <w:lang w:val="en-US" w:eastAsia="zh-CN"/>
        </w:rPr>
        <w:t>（六）其他与行政行为有利害关系的情形。</w:t>
      </w:r>
    </w:p>
    <w:p w14:paraId="50FA53A5">
      <w:pPr>
        <w:rPr>
          <w:rFonts w:hint="default"/>
          <w:lang w:val="en-US" w:eastAsia="zh-CN"/>
        </w:rPr>
      </w:pPr>
    </w:p>
    <w:p w14:paraId="1187543A">
      <w:pPr>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2010601030101010101"/>
    <w:charset w:val="86"/>
    <w:family w:val="auto"/>
    <w:pitch w:val="default"/>
    <w:sig w:usb0="00000000" w:usb1="00000000" w:usb2="00000000" w:usb3="00000000" w:csb0="00040000" w:csb1="00000000"/>
  </w:font>
  <w:font w:name="KSOF025BBAAE">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07EE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375E6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375E6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NTExMDQ5MzVhMjhlM2JjZTA4MGYzZGJiZGM2MDUifQ=="/>
  </w:docVars>
  <w:rsids>
    <w:rsidRoot w:val="00000000"/>
    <w:rsid w:val="04773462"/>
    <w:rsid w:val="0CD21F0B"/>
    <w:rsid w:val="0F391C03"/>
    <w:rsid w:val="117B5A20"/>
    <w:rsid w:val="12226391"/>
    <w:rsid w:val="1D553FAD"/>
    <w:rsid w:val="214655E0"/>
    <w:rsid w:val="22034FD4"/>
    <w:rsid w:val="499E51FA"/>
    <w:rsid w:val="4F1914A9"/>
    <w:rsid w:val="566C474A"/>
    <w:rsid w:val="6BE87A1B"/>
    <w:rsid w:val="78645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44B7C0F4-79DB-4F8B-9303-0E098D69D8BE-1">
      <extobjdata type="44B7C0F4-79DB-4F8B-9303-0E098D69D8BE" data="ewoJIkxhc3RVcmwiIDogImh0dHBzOi8vcGVyc29uYWwtYWN0Lndwcy5jbi92aXAtc3BhLzIwMjMvcXJjb2Rlc2Nhbi9pbmRleC5odG1sP3RleHQ9aHR0cCUzQSUyRiUyRnd3dy5nZHNodWZhbi5jb20lMkZOZXdzJTJGMTglMkYyMjEuc2h0bWwmdGV4dFR5cGU9dGV4dCZyb3VuZD0wJmdyYWRpZW50V2F5PTAiLAoJIkxvZ28iIDogIiIsCgkiT3JpZ2luYWxVcmwiIDogImh0dHBzOi8vcGVyc29uYWwtYWN0Lndwcy5jbi92aXAtc3BhLzIwMjMvcXJjb2Rlc2Nhbi9pbmRleC5odG1s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1796</Words>
  <Characters>1884</Characters>
  <Lines>0</Lines>
  <Paragraphs>0</Paragraphs>
  <TotalTime>147</TotalTime>
  <ScaleCrop>false</ScaleCrop>
  <LinksUpToDate>false</LinksUpToDate>
  <CharactersWithSpaces>1884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2024-09-08T16:52:00Z</dcterms:created>
  <dc:creator>BK</dc:creator>
  <cp:lastModifiedBy>书凡物业一凡</cp:lastModifiedBy>
  <dcterms:modified xsi:type="dcterms:W3CDTF">2026-06-03T21:06:03Z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2B532BE6D7304327A653850B2ABFBCF7_13</vt:lpwstr>
  </property>
  <property fmtid="{D5CDD505-2E9C-101B-9397-08002B2CF9AE}" pid="4" name="KSOTemplateDocerSaveRecord">
    <vt:lpwstr>eyJoZGlkIjoiN2Q0NTExMDQ5MzVhMjhlM2JjZTA4MGYzZGJiZGM2MDUiLCJ1c2VySWQiOiI0NTEwMTc1OTYifQ==</vt:lpwstr>
  </property>
</Properties>
</file>