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AF495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6797040"/>
            <wp:effectExtent l="0" t="0" r="0" b="0"/>
            <wp:docPr id="1" name="图片 1" descr="信息公开的答复（汕头住建局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信息公开的答复（汕头住建局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79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61EAB1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1849120"/>
            <wp:effectExtent l="0" t="0" r="4445" b="10160"/>
            <wp:docPr id="3" name="图片 3" descr="法定职责（汕头住建局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法定职责（汕头住建局）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4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3C3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2026-06-04T20:02:31Z</dcterms:created>
  <dc:creator>BK</dc:creator>
  <cp:lastModifiedBy>书凡物业一凡</cp:lastModifiedBy>
  <dcterms:modified xsi:type="dcterms:W3CDTF">2026-06-04T20:03:54Z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eyJoZGlkIjoiN2Q0NTExMDQ5MzVhMjhlM2JjZTA4MGYzZGJiZGM2MDUiLCJ1c2VySWQiOiI0NTEwMTc1OTYifQ==</vt:lpwstr>
  </property>
  <property fmtid="{D5CDD505-2E9C-101B-9397-08002B2CF9AE}" pid="4" name="ICV">
    <vt:lpwstr>F8DDAA28505443C6A726D762D50D5324_12</vt:lpwstr>
  </property>
</Properties>
</file>