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238C1">
      <w:pPr>
        <w:jc w:val="center"/>
        <w:rPr>
          <w:rFonts w:hint="eastAsia"/>
          <w:sz w:val="44"/>
          <w:szCs w:val="44"/>
        </w:rPr>
      </w:pPr>
      <w:r>
        <w:rPr>
          <w:rFonts w:hint="eastAsia"/>
          <w:sz w:val="44"/>
          <w:szCs w:val="44"/>
        </w:rPr>
        <w:t>关于有关案件办理结果异议书（一）</w:t>
      </w:r>
    </w:p>
    <w:p w14:paraId="6CEC0634">
      <w:pPr>
        <w:jc w:val="center"/>
        <w:rPr>
          <w:sz w:val="44"/>
          <w:szCs w:val="44"/>
        </w:rPr>
      </w:pPr>
    </w:p>
    <w:p w14:paraId="29D9FA79">
      <w:pPr>
        <w:spacing w:line="40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汕头市中级人民法院党组</w:t>
      </w:r>
    </w:p>
    <w:p w14:paraId="0DBD5D62">
      <w:pPr>
        <w:spacing w:line="40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汕头市中级人民法院</w:t>
      </w:r>
    </w:p>
    <w:p w14:paraId="7D13DBAE">
      <w:pPr>
        <w:spacing w:line="40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汕头市中级人民法院党组书记、代理院长王晓明</w:t>
      </w:r>
    </w:p>
    <w:p w14:paraId="597A4A81">
      <w:pPr>
        <w:spacing w:line="400" w:lineRule="exact"/>
        <w:rPr>
          <w:rFonts w:asciiTheme="majorEastAsia" w:hAnsiTheme="majorEastAsia" w:eastAsiaTheme="majorEastAsia"/>
          <w:sz w:val="28"/>
          <w:szCs w:val="28"/>
        </w:rPr>
      </w:pPr>
    </w:p>
    <w:p w14:paraId="47A6F54F">
      <w:pPr>
        <w:spacing w:line="400" w:lineRule="exact"/>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本人就（2022）粤0511民初1829号民事判决提起上诉一案，该案在汕头中院一直无进展，经向汕头中院、向汕头中院党组、广东高院寻求救济，无果无消息，后经由广东省委巡视组转办，汕头中院让一审法院向本人解释为该案“未在法定期限提交上诉状，视为未上诉”，本人明确表示不认可。后，继续向中央巡视组信访，汕头中院依然以问题本身作为答案进行答复，且没有阐明事实和法律依据。</w:t>
      </w:r>
    </w:p>
    <w:p w14:paraId="462D8E57">
      <w:pPr>
        <w:spacing w:line="4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lang w:val="en-US" w:eastAsia="zh-CN"/>
        </w:rPr>
        <w:t>该案件</w:t>
      </w:r>
      <w:r>
        <w:rPr>
          <w:rFonts w:hint="eastAsia" w:asciiTheme="majorEastAsia" w:hAnsiTheme="majorEastAsia" w:eastAsiaTheme="majorEastAsia"/>
          <w:sz w:val="28"/>
          <w:szCs w:val="28"/>
        </w:rPr>
        <w:t>经致电一审法院确认邮寄送达裁判文书签收日期后依法在法定期限向一审法院邮寄提交上诉状，并按一审法院的通知缴交诉讼费。从后来维权过程的信息可以确认，一审法院有向汕头中院移交上诉状及案卷，汕头中院也交接了。</w:t>
      </w:r>
    </w:p>
    <w:p w14:paraId="3B8F4D09">
      <w:pPr>
        <w:spacing w:line="4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根据邮政系统查询显示的时间，该案件并</w:t>
      </w:r>
      <w:r>
        <w:rPr>
          <w:rFonts w:hint="eastAsia" w:asciiTheme="majorEastAsia" w:hAnsiTheme="majorEastAsia" w:eastAsiaTheme="majorEastAsia"/>
          <w:sz w:val="28"/>
          <w:szCs w:val="28"/>
          <w:lang w:val="en-US" w:eastAsia="zh-CN"/>
        </w:rPr>
        <w:t>未</w:t>
      </w:r>
      <w:r>
        <w:rPr>
          <w:rFonts w:hint="eastAsia" w:asciiTheme="majorEastAsia" w:hAnsiTheme="majorEastAsia" w:eastAsiaTheme="majorEastAsia"/>
          <w:sz w:val="28"/>
          <w:szCs w:val="28"/>
        </w:rPr>
        <w:t>出现提交上诉状超出法定期限的情形，且本人有致电一审法院确认签收时间。在法定事实清楚，当事人无过错、已尽到确认义务</w:t>
      </w:r>
      <w:r>
        <w:rPr>
          <w:rFonts w:hint="eastAsia" w:asciiTheme="majorEastAsia" w:hAnsiTheme="majorEastAsia" w:eastAsiaTheme="majorEastAsia"/>
          <w:sz w:val="28"/>
          <w:szCs w:val="28"/>
          <w:lang w:val="en-US" w:eastAsia="zh-CN"/>
        </w:rPr>
        <w:t>情况下</w:t>
      </w:r>
      <w:r>
        <w:rPr>
          <w:rFonts w:hint="eastAsia" w:asciiTheme="majorEastAsia" w:hAnsiTheme="majorEastAsia" w:eastAsiaTheme="majorEastAsia"/>
          <w:sz w:val="28"/>
          <w:szCs w:val="28"/>
        </w:rPr>
        <w:t>，汕头中院对不</w:t>
      </w:r>
      <w:r>
        <w:rPr>
          <w:rFonts w:hint="eastAsia" w:asciiTheme="majorEastAsia" w:hAnsiTheme="majorEastAsia" w:eastAsiaTheme="majorEastAsia"/>
          <w:sz w:val="28"/>
          <w:szCs w:val="28"/>
          <w:lang w:val="en-US" w:eastAsia="zh-CN"/>
        </w:rPr>
        <w:t>依法</w:t>
      </w:r>
      <w:r>
        <w:rPr>
          <w:rFonts w:hint="eastAsia" w:asciiTheme="majorEastAsia" w:hAnsiTheme="majorEastAsia" w:eastAsiaTheme="majorEastAsia"/>
          <w:sz w:val="28"/>
          <w:szCs w:val="28"/>
        </w:rPr>
        <w:t>审判的行为作出“超限提交上诉状，视为未上诉”的答复，太过牵强。道理很简单，若是超限提交，经由多次查询、投诉、信访，不会无法回应。再者，</w:t>
      </w:r>
      <w:r>
        <w:rPr>
          <w:rFonts w:hint="eastAsia" w:asciiTheme="majorEastAsia" w:hAnsiTheme="majorEastAsia" w:eastAsiaTheme="majorEastAsia"/>
          <w:sz w:val="28"/>
          <w:szCs w:val="28"/>
          <w:lang w:eastAsia="zh-CN"/>
        </w:rPr>
        <w:t>“</w:t>
      </w:r>
      <w:r>
        <w:rPr>
          <w:rFonts w:hint="eastAsia" w:asciiTheme="majorEastAsia" w:hAnsiTheme="majorEastAsia" w:eastAsiaTheme="majorEastAsia"/>
          <w:sz w:val="28"/>
          <w:szCs w:val="28"/>
        </w:rPr>
        <w:t>视为未提起上诉</w:t>
      </w:r>
      <w:r>
        <w:rPr>
          <w:rFonts w:hint="eastAsia" w:asciiTheme="majorEastAsia" w:hAnsiTheme="majorEastAsia" w:eastAsiaTheme="majorEastAsia"/>
          <w:sz w:val="28"/>
          <w:szCs w:val="28"/>
          <w:lang w:eastAsia="zh-CN"/>
        </w:rPr>
        <w:t>”</w:t>
      </w:r>
      <w:bookmarkStart w:id="0" w:name="_GoBack"/>
      <w:bookmarkEnd w:id="0"/>
      <w:r>
        <w:rPr>
          <w:rFonts w:hint="eastAsia" w:asciiTheme="majorEastAsia" w:hAnsiTheme="majorEastAsia" w:eastAsiaTheme="majorEastAsia"/>
          <w:sz w:val="28"/>
          <w:szCs w:val="28"/>
        </w:rPr>
        <w:t>，不等同于不予理睬，起码的通知和寻求退诉讼费的行为应该有。</w:t>
      </w:r>
    </w:p>
    <w:p w14:paraId="02F388F9">
      <w:pPr>
        <w:spacing w:line="4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因此，该案件汕头中院不进行审判，程序违法，无事实和法律依据，应当依法组成合议庭审判。</w:t>
      </w:r>
    </w:p>
    <w:p w14:paraId="7356CBE4">
      <w:pPr>
        <w:spacing w:line="4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若汕头中院认为超限提交上诉状，请出示事实依据，列明法律依据，证明程序合法，有针对性的还原事实，明确责任。</w:t>
      </w:r>
    </w:p>
    <w:p w14:paraId="4AC7F8CF">
      <w:pPr>
        <w:spacing w:line="4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此致！</w:t>
      </w:r>
    </w:p>
    <w:p w14:paraId="75CF711D">
      <w:pPr>
        <w:spacing w:line="400" w:lineRule="exact"/>
        <w:ind w:firstLine="560" w:firstLineChars="200"/>
        <w:rPr>
          <w:rFonts w:asciiTheme="majorEastAsia" w:hAnsiTheme="majorEastAsia" w:eastAsiaTheme="majorEastAsia"/>
          <w:sz w:val="28"/>
          <w:szCs w:val="28"/>
        </w:rPr>
      </w:pPr>
    </w:p>
    <w:p w14:paraId="5C1B7237">
      <w:pPr>
        <w:spacing w:line="400" w:lineRule="exact"/>
        <w:ind w:firstLine="560" w:firstLineChars="200"/>
        <w:rPr>
          <w:rFonts w:asciiTheme="majorEastAsia" w:hAnsiTheme="majorEastAsia" w:eastAsiaTheme="majorEastAsia"/>
          <w:sz w:val="28"/>
          <w:szCs w:val="28"/>
        </w:rPr>
      </w:pPr>
    </w:p>
    <w:p w14:paraId="1CDFEC2A">
      <w:pPr>
        <w:spacing w:line="400" w:lineRule="exact"/>
        <w:ind w:firstLine="560" w:firstLineChars="200"/>
        <w:jc w:val="right"/>
        <w:rPr>
          <w:rFonts w:asciiTheme="majorEastAsia" w:hAnsiTheme="majorEastAsia" w:eastAsiaTheme="majorEastAsia"/>
          <w:sz w:val="28"/>
          <w:szCs w:val="28"/>
        </w:rPr>
      </w:pPr>
      <w:r>
        <w:rPr>
          <w:rFonts w:hint="eastAsia" w:asciiTheme="majorEastAsia" w:hAnsiTheme="majorEastAsia" w:eastAsiaTheme="majorEastAsia"/>
          <w:sz w:val="28"/>
          <w:szCs w:val="28"/>
        </w:rPr>
        <w:t>异议人：陈伟祺</w:t>
      </w:r>
    </w:p>
    <w:p w14:paraId="20815EA9">
      <w:pPr>
        <w:spacing w:line="400" w:lineRule="exact"/>
        <w:ind w:firstLine="560" w:firstLineChars="200"/>
        <w:jc w:val="right"/>
        <w:rPr>
          <w:rFonts w:asciiTheme="majorEastAsia" w:hAnsiTheme="majorEastAsia" w:eastAsiaTheme="majorEastAsia"/>
          <w:sz w:val="28"/>
          <w:szCs w:val="28"/>
        </w:rPr>
      </w:pPr>
      <w:r>
        <w:rPr>
          <w:rFonts w:hint="eastAsia" w:asciiTheme="majorEastAsia" w:hAnsiTheme="majorEastAsia" w:eastAsiaTheme="majorEastAsia"/>
          <w:sz w:val="28"/>
          <w:szCs w:val="28"/>
        </w:rPr>
        <w:t>2026年4月24日</w:t>
      </w:r>
    </w:p>
    <w:p w14:paraId="33760005">
      <w:pPr>
        <w:spacing w:line="40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附：有关资料的链接</w:t>
      </w:r>
    </w:p>
    <w:p w14:paraId="4436492B"/>
    <w:p w14:paraId="6E87451A"/>
    <w:p w14:paraId="7F46C9C6">
      <w:pPr>
        <w:jc w:val="left"/>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相关资料烦请浏览</w:t>
      </w:r>
    </w:p>
    <w:p w14:paraId="7CC0BEA8">
      <w:pPr>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28"/>
          <w:szCs w:val="28"/>
        </w:rPr>
        <w:t>http://www.gdshufan.com/News/18/221.shtml</w:t>
      </w:r>
      <w:r>
        <w:rPr>
          <w:rFonts w:ascii="方正仿宋简体" w:hAnsi="方正仿宋简体" w:eastAsia="方正仿宋简体" w:cs="方正仿宋简体"/>
          <w:sz w:val="32"/>
          <w:szCs w:val="32"/>
        </w:rPr>
        <w:drawing>
          <wp:inline distT="0" distB="0" distL="114300" distR="114300">
            <wp:extent cx="1242695" cy="1242695"/>
            <wp:effectExtent l="0" t="0" r="6985" b="6985"/>
            <wp:docPr id="4" name="44B7C0F4-79DB-4F8B-9303-0E098D69D8BE-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4B7C0F4-79DB-4F8B-9303-0E098D69D8BE-1" descr="wps"/>
                    <pic:cNvPicPr>
                      <a:picLocks noChangeAspect="1"/>
                    </pic:cNvPicPr>
                  </pic:nvPicPr>
                  <pic:blipFill>
                    <a:blip r:embed="rId4" cstate="print"/>
                    <a:stretch>
                      <a:fillRect/>
                    </a:stretch>
                  </pic:blipFill>
                  <pic:spPr>
                    <a:xfrm>
                      <a:off x="0" y="0"/>
                      <a:ext cx="1242695" cy="1242695"/>
                    </a:xfrm>
                    <a:prstGeom prst="rect">
                      <a:avLst/>
                    </a:prstGeom>
                  </pic:spPr>
                </pic:pic>
              </a:graphicData>
            </a:graphic>
          </wp:inline>
        </w:drawing>
      </w:r>
    </w:p>
    <w:p w14:paraId="6A9EA4DC"/>
    <w:p w14:paraId="6119FF12"/>
    <w:p w14:paraId="5C11B04F">
      <w:pPr>
        <w:rPr>
          <w:rFonts w:hint="eastAsia" w:asciiTheme="minorEastAsia" w:hAnsiTheme="minorEastAsia"/>
          <w:sz w:val="28"/>
          <w:szCs w:val="28"/>
        </w:rPr>
      </w:pPr>
    </w:p>
    <w:p w14:paraId="7F71E967">
      <w:pPr>
        <w:rPr>
          <w:rFonts w:hint="eastAsia" w:asciiTheme="minorEastAsia" w:hAnsiTheme="minorEastAsia"/>
          <w:sz w:val="28"/>
          <w:szCs w:val="28"/>
        </w:rPr>
      </w:pPr>
    </w:p>
    <w:p w14:paraId="3E731E6C">
      <w:pPr>
        <w:rPr>
          <w:rFonts w:hint="eastAsia" w:asciiTheme="minorEastAsia" w:hAnsiTheme="minorEastAsia"/>
          <w:sz w:val="28"/>
          <w:szCs w:val="28"/>
        </w:rPr>
      </w:pPr>
    </w:p>
    <w:p w14:paraId="251C044B">
      <w:pPr>
        <w:rPr>
          <w:rFonts w:hint="eastAsia" w:asciiTheme="minorEastAsia" w:hAnsiTheme="minorEastAsia"/>
          <w:sz w:val="28"/>
          <w:szCs w:val="28"/>
        </w:rPr>
      </w:pPr>
    </w:p>
    <w:p w14:paraId="03F7F14A">
      <w:pPr>
        <w:rPr>
          <w:rFonts w:hint="eastAsia" w:asciiTheme="minorEastAsia" w:hAnsiTheme="minorEastAsia"/>
          <w:sz w:val="28"/>
          <w:szCs w:val="28"/>
        </w:rPr>
      </w:pPr>
    </w:p>
    <w:p w14:paraId="224AB564">
      <w:pPr>
        <w:rPr>
          <w:rFonts w:hint="eastAsia" w:asciiTheme="minorEastAsia" w:hAnsiTheme="minorEastAsia"/>
          <w:sz w:val="28"/>
          <w:szCs w:val="28"/>
        </w:rPr>
      </w:pPr>
    </w:p>
    <w:p w14:paraId="5FECAABA">
      <w:pPr>
        <w:rPr>
          <w:rFonts w:hint="eastAsia" w:asciiTheme="minorEastAsia" w:hAnsiTheme="minorEastAsia"/>
          <w:sz w:val="28"/>
          <w:szCs w:val="28"/>
        </w:rPr>
      </w:pPr>
    </w:p>
    <w:p w14:paraId="0879B0AA">
      <w:pPr>
        <w:rPr>
          <w:rFonts w:hint="eastAsia" w:asciiTheme="minorEastAsia" w:hAnsiTheme="minorEastAsia"/>
          <w:sz w:val="28"/>
          <w:szCs w:val="28"/>
        </w:rPr>
      </w:pPr>
    </w:p>
    <w:p w14:paraId="2014310D">
      <w:pPr>
        <w:rPr>
          <w:rFonts w:hint="eastAsia" w:asciiTheme="minorEastAsia" w:hAnsiTheme="minorEastAsia"/>
          <w:sz w:val="28"/>
          <w:szCs w:val="28"/>
        </w:rPr>
      </w:pPr>
    </w:p>
    <w:p w14:paraId="0134CEE3">
      <w:pPr>
        <w:rPr>
          <w:rFonts w:hint="eastAsia" w:asciiTheme="minorEastAsia" w:hAnsiTheme="minorEastAsia"/>
          <w:sz w:val="28"/>
          <w:szCs w:val="28"/>
        </w:rPr>
      </w:pPr>
    </w:p>
    <w:p w14:paraId="477EA56E">
      <w:pPr>
        <w:rPr>
          <w:rFonts w:hint="eastAsia" w:asciiTheme="minorEastAsia" w:hAnsiTheme="minorEastAsia"/>
          <w:sz w:val="28"/>
          <w:szCs w:val="28"/>
        </w:rPr>
      </w:pPr>
    </w:p>
    <w:p w14:paraId="1BAEBD7B">
      <w:pPr>
        <w:rPr>
          <w:rFonts w:hint="eastAsia" w:asciiTheme="minorEastAsia" w:hAnsiTheme="minorEastAsia"/>
          <w:sz w:val="28"/>
          <w:szCs w:val="28"/>
        </w:rPr>
      </w:pPr>
    </w:p>
    <w:p w14:paraId="103409BC">
      <w:pPr>
        <w:rPr>
          <w:rFonts w:hint="eastAsia" w:asciiTheme="minorEastAsia" w:hAnsiTheme="minorEastAsia"/>
          <w:sz w:val="28"/>
          <w:szCs w:val="28"/>
        </w:rPr>
      </w:pPr>
    </w:p>
    <w:p w14:paraId="4878CA74">
      <w:pPr>
        <w:rPr>
          <w:rFonts w:hint="eastAsia" w:asciiTheme="minorEastAsia" w:hAnsiTheme="minorEastAsia"/>
          <w:sz w:val="28"/>
          <w:szCs w:val="28"/>
        </w:rPr>
      </w:pPr>
    </w:p>
    <w:p w14:paraId="67FC7E13">
      <w:pPr>
        <w:rPr>
          <w:rFonts w:hint="eastAsia" w:asciiTheme="minorEastAsia" w:hAnsiTheme="minorEastAsia"/>
          <w:sz w:val="28"/>
          <w:szCs w:val="28"/>
        </w:rPr>
      </w:pPr>
    </w:p>
    <w:p w14:paraId="12C6DA56">
      <w:pPr>
        <w:rPr>
          <w:rFonts w:asciiTheme="minorEastAsia" w:hAnsiTheme="minorEastAsia"/>
          <w:sz w:val="28"/>
          <w:szCs w:val="28"/>
        </w:rPr>
      </w:pPr>
    </w:p>
    <w:p w14:paraId="44ECBE31">
      <w:pPr>
        <w:rPr>
          <w:rFonts w:asciiTheme="minorEastAsia" w:hAnsiTheme="minorEastAsia"/>
          <w:sz w:val="28"/>
          <w:szCs w:val="28"/>
        </w:rPr>
      </w:pPr>
      <w:r>
        <w:rPr>
          <w:rFonts w:hint="eastAsia" w:asciiTheme="minorEastAsia" w:hAnsiTheme="minorEastAsia"/>
          <w:sz w:val="28"/>
          <w:szCs w:val="28"/>
        </w:rPr>
        <w:t>第九十一条　直接送达诉讼文书有困难的，可以委托其他人民法院代为送达，或者邮寄送达。邮寄送达的，以回执上注明的收件日期为送达日期</w:t>
      </w:r>
    </w:p>
    <w:p w14:paraId="2CB7DC04">
      <w:pPr>
        <w:rPr>
          <w:rFonts w:asciiTheme="minorEastAsia" w:hAnsiTheme="minorEastAsia"/>
          <w:sz w:val="28"/>
          <w:szCs w:val="28"/>
        </w:rPr>
      </w:pPr>
      <w:r>
        <w:rPr>
          <w:rFonts w:hint="eastAsia" w:asciiTheme="minorEastAsia" w:hAnsiTheme="minorEastAsia"/>
          <w:sz w:val="28"/>
          <w:szCs w:val="28"/>
        </w:rPr>
        <w:t>民事诉讼法</w:t>
      </w:r>
    </w:p>
    <w:p w14:paraId="442969E6">
      <w:pPr>
        <w:rPr>
          <w:rFonts w:cs="微软雅黑" w:asciiTheme="minorEastAsia" w:hAnsiTheme="minorEastAsia"/>
          <w:color w:val="000000"/>
          <w:sz w:val="28"/>
          <w:szCs w:val="28"/>
          <w:shd w:val="clear" w:color="auto" w:fill="FFFFFF"/>
        </w:rPr>
      </w:pPr>
      <w:r>
        <w:rPr>
          <w:rFonts w:cs="微软雅黑" w:asciiTheme="minorEastAsia" w:hAnsiTheme="minorEastAsia"/>
          <w:color w:val="000000"/>
          <w:sz w:val="28"/>
          <w:szCs w:val="28"/>
          <w:shd w:val="clear" w:color="auto" w:fill="FFFFFF"/>
        </w:rPr>
        <w:t>第三百二十条  一审宣判时或者判决书、裁定书送达时，当事人口头表示上诉的，人民法院应告知其必须在法定上诉期间内递交上诉状。未在法定上诉期间内递交上诉状的，视为未提起上诉。虽递交上诉状，但未在指定的期限内交纳上诉费的，按自动撤回上诉处理。</w:t>
      </w:r>
    </w:p>
    <w:p w14:paraId="1C6C4751">
      <w:pPr>
        <w:rPr>
          <w:rFonts w:cs="微软雅黑" w:asciiTheme="minorEastAsia" w:hAnsiTheme="minorEastAsia"/>
          <w:color w:val="000000"/>
          <w:sz w:val="28"/>
          <w:szCs w:val="28"/>
          <w:shd w:val="clear" w:color="auto" w:fill="FFFFFF"/>
        </w:rPr>
      </w:pPr>
      <w:r>
        <w:rPr>
          <w:rFonts w:hint="eastAsia" w:cs="微软雅黑" w:asciiTheme="minorEastAsia" w:hAnsiTheme="minorEastAsia"/>
          <w:color w:val="000000"/>
          <w:sz w:val="28"/>
          <w:szCs w:val="28"/>
          <w:shd w:val="clear" w:color="auto" w:fill="FFFFFF"/>
        </w:rPr>
        <w:t>民诉法的解释</w:t>
      </w:r>
    </w:p>
    <w:p w14:paraId="30914649">
      <w:pPr>
        <w:rPr>
          <w:rFonts w:cs="微软雅黑" w:asciiTheme="minorEastAsia" w:hAnsiTheme="minorEastAsia"/>
          <w:color w:val="000000"/>
          <w:sz w:val="28"/>
          <w:szCs w:val="28"/>
          <w:shd w:val="clear" w:color="auto" w:fill="FFFFFF"/>
        </w:rPr>
      </w:pPr>
    </w:p>
    <w:p w14:paraId="1A43C5AE">
      <w:pPr>
        <w:numPr>
          <w:ilvl w:val="0"/>
          <w:numId w:val="1"/>
        </w:numPr>
        <w:rPr>
          <w:rFonts w:ascii="微软雅黑" w:hAnsi="微软雅黑" w:eastAsia="微软雅黑" w:cs="微软雅黑"/>
          <w:color w:val="000000"/>
          <w:sz w:val="28"/>
          <w:szCs w:val="28"/>
          <w:shd w:val="clear" w:color="auto" w:fill="FFFFFF"/>
        </w:rPr>
      </w:pPr>
      <w:r>
        <w:rPr>
          <w:rFonts w:hint="eastAsia" w:ascii="微软雅黑" w:hAnsi="微软雅黑" w:eastAsia="微软雅黑" w:cs="微软雅黑"/>
          <w:color w:val="000000"/>
          <w:sz w:val="28"/>
          <w:szCs w:val="28"/>
          <w:shd w:val="clear" w:color="auto" w:fill="FFFFFF"/>
        </w:rPr>
        <w:t>邮政机构按照当事人提供或者确认的送达地址送达的，应当在规定的日期内将回执退回人民法院。</w:t>
      </w:r>
    </w:p>
    <w:p w14:paraId="54477616">
      <w:pPr>
        <w:rPr>
          <w:rFonts w:ascii="微软雅黑" w:hAnsi="微软雅黑" w:eastAsia="微软雅黑" w:cs="微软雅黑"/>
          <w:color w:val="000000"/>
          <w:sz w:val="28"/>
          <w:szCs w:val="28"/>
          <w:shd w:val="clear" w:color="auto" w:fill="FFFFFF"/>
        </w:rPr>
      </w:pPr>
      <w:r>
        <w:rPr>
          <w:rFonts w:hint="eastAsia" w:ascii="微软雅黑" w:hAnsi="微软雅黑" w:eastAsia="微软雅黑" w:cs="微软雅黑"/>
          <w:color w:val="000000"/>
          <w:sz w:val="28"/>
          <w:szCs w:val="28"/>
          <w:shd w:val="clear" w:color="auto" w:fill="FFFFFF"/>
        </w:rPr>
        <w:t>送达文书若干规定</w:t>
      </w:r>
    </w:p>
    <w:p w14:paraId="4164D7FF">
      <w:pPr>
        <w:rPr>
          <w:rFonts w:ascii="微软雅黑" w:hAnsi="微软雅黑" w:eastAsia="微软雅黑" w:cs="微软雅黑"/>
          <w:color w:val="000000"/>
          <w:sz w:val="28"/>
          <w:szCs w:val="28"/>
          <w:shd w:val="clear" w:color="auto" w:fill="FFFFFF"/>
        </w:rPr>
      </w:pPr>
    </w:p>
    <w:p w14:paraId="22BAA76F">
      <w:pPr>
        <w:rPr>
          <w:rFonts w:ascii="微软雅黑" w:hAnsi="微软雅黑" w:eastAsia="微软雅黑" w:cs="微软雅黑"/>
          <w:color w:val="000000"/>
          <w:sz w:val="28"/>
          <w:szCs w:val="28"/>
          <w:shd w:val="clear" w:color="auto" w:fill="FFFFFF"/>
        </w:rPr>
      </w:pP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KSOF025BBAAE">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94E8AD"/>
    <w:multiLevelType w:val="singleLevel"/>
    <w:tmpl w:val="3894E8AD"/>
    <w:lvl w:ilvl="0" w:tentative="0">
      <w:start w:val="6"/>
      <w:numFmt w:val="chineseCounting"/>
      <w:suff w:val="nothing"/>
      <w:lvlText w:val="第%1条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53705445"/>
    <w:rsid w:val="00A112AA"/>
    <w:rsid w:val="00BE05C7"/>
    <w:rsid w:val="00E8484A"/>
    <w:rsid w:val="020049D1"/>
    <w:rsid w:val="12936898"/>
    <w:rsid w:val="220C08B2"/>
    <w:rsid w:val="2C9E7365"/>
    <w:rsid w:val="53705445"/>
    <w:rsid w:val="77AC0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uiPriority w:val="0"/>
    <w:rPr>
      <w:rFonts w:asciiTheme="minorHAnsi" w:hAnsiTheme="minorHAnsi" w:eastAsiaTheme="minorEastAsia" w:cstheme="minorBidi"/>
      <w:kern w:val="2"/>
      <w:sz w:val="18"/>
      <w:szCs w:val="18"/>
    </w:rPr>
  </w:style>
  <w:style w:type="character" w:customStyle="1" w:styleId="8">
    <w:name w:val="页眉 Char"/>
    <w:basedOn w:val="6"/>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44B7C0F4-79DB-4F8B-9303-0E098D69D8BE-1">
      <extobjdata type="44B7C0F4-79DB-4F8B-9303-0E098D69D8BE" data="ewoJIkxhc3RVcmwiIDogImh0dHBzOi8vcGVyc29uYWwtYWN0Lndwcy5jbi92aXAtc3BhLzIwMjMvcXJjb2Rlc2Nhbi9pbmRleC5odG1sP3RleHQ9aHR0cCUzQSUyRiUyRnd3dy5nZHNodWZhbi5jb20lMkZOZXdzJTJGMTglMkYyMjEuc2h0bWwmdGV4dFR5cGU9dGV4dCZyb3VuZD0wJmdyYWRpZW50V2F5PTAiLAoJIkxvZ28iIDogIiIsCgkiT3JpZ2luYWxVcmwiIDogImh0dHBzOi8vcGVyc29uYWwtYWN0Lndwcy5jbi92aXAtc3BhLzIwMjMvcXJjb2Rlc2Nhbi9pbmRleC5odG1s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939</Words>
  <Characters>992</Characters>
  <Lines>7</Lines>
  <Paragraphs>2</Paragraphs>
  <TotalTime>915</TotalTime>
  <ScaleCrop>false</ScaleCrop>
  <LinksUpToDate>false</LinksUpToDate>
  <CharactersWithSpaces>999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2026-04-24T07:38:00Z</dcterms:created>
  <dc:creator>BK</dc:creator>
  <cp:lastModifiedBy>BK</cp:lastModifiedBy>
  <dcterms:modified xsi:type="dcterms:W3CDTF">2026-04-25T05:53:28Z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CDDB513FF0C34C1FB2A580C42B85AC13_13</vt:lpwstr>
  </property>
  <property fmtid="{D5CDD505-2E9C-101B-9397-08002B2CF9AE}" pid="4" name="KSOTemplateDocerSaveRecord">
    <vt:lpwstr>eyJoZGlkIjoiN2Q0NTExMDQ5MzVhMjhlM2JjZTA4MGYzZGJiZGM2MDUifQ==</vt:lpwstr>
  </property>
</Properties>
</file>